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2E1" w:rsidRDefault="001772E1" w:rsidP="001772E1">
      <w:pPr>
        <w:pStyle w:val="NormalWeb"/>
        <w:shd w:val="clear" w:color="auto" w:fill="FFFFFF"/>
        <w:spacing w:before="0" w:beforeAutospacing="0" w:after="150" w:afterAutospacing="0"/>
        <w:jc w:val="center"/>
        <w:rPr>
          <w:rStyle w:val="Strong"/>
          <w:color w:val="000000"/>
          <w:sz w:val="26"/>
          <w:szCs w:val="26"/>
        </w:rPr>
      </w:pPr>
      <w:r>
        <w:rPr>
          <w:rStyle w:val="Strong"/>
          <w:color w:val="000000"/>
          <w:sz w:val="26"/>
          <w:szCs w:val="26"/>
        </w:rPr>
        <w:t>HƯỚNG DẪN ĐĂNG KÝ SÁNG CHẾ</w:t>
      </w:r>
    </w:p>
    <w:p w:rsidR="00472360" w:rsidRDefault="00472360" w:rsidP="001772E1">
      <w:pPr>
        <w:pStyle w:val="NormalWeb"/>
        <w:shd w:val="clear" w:color="auto" w:fill="FFFFFF"/>
        <w:spacing w:before="0" w:beforeAutospacing="0" w:after="150" w:afterAutospacing="0"/>
        <w:jc w:val="both"/>
        <w:rPr>
          <w:rStyle w:val="Strong"/>
          <w:color w:val="000000"/>
          <w:sz w:val="26"/>
          <w:szCs w:val="26"/>
        </w:rPr>
      </w:pPr>
    </w:p>
    <w:p w:rsidR="001772E1" w:rsidRPr="001772E1" w:rsidRDefault="001772E1" w:rsidP="001772E1">
      <w:pPr>
        <w:pStyle w:val="NormalWeb"/>
        <w:shd w:val="clear" w:color="auto" w:fill="FFFFFF"/>
        <w:spacing w:before="0" w:beforeAutospacing="0" w:after="150" w:afterAutospacing="0"/>
        <w:jc w:val="both"/>
        <w:rPr>
          <w:rStyle w:val="Strong"/>
          <w:color w:val="000000"/>
          <w:sz w:val="26"/>
          <w:szCs w:val="26"/>
        </w:rPr>
      </w:pPr>
      <w:r w:rsidRPr="001772E1">
        <w:rPr>
          <w:rStyle w:val="Strong"/>
          <w:color w:val="000000"/>
          <w:sz w:val="26"/>
          <w:szCs w:val="26"/>
        </w:rPr>
        <w:t>I. TỔNG QUAN VỀ SÁNG CHẾ.</w:t>
      </w:r>
    </w:p>
    <w:p w:rsidR="001772E1" w:rsidRPr="001772E1" w:rsidRDefault="001772E1" w:rsidP="001772E1">
      <w:pPr>
        <w:pStyle w:val="NormalWeb"/>
        <w:shd w:val="clear" w:color="auto" w:fill="FFFFFF"/>
        <w:spacing w:before="0" w:beforeAutospacing="0" w:after="150" w:afterAutospacing="0"/>
        <w:jc w:val="both"/>
        <w:rPr>
          <w:i/>
          <w:color w:val="000000"/>
          <w:sz w:val="26"/>
          <w:szCs w:val="26"/>
        </w:rPr>
      </w:pPr>
      <w:r w:rsidRPr="001772E1">
        <w:rPr>
          <w:rStyle w:val="Strong"/>
          <w:i/>
          <w:color w:val="000000"/>
          <w:sz w:val="26"/>
          <w:szCs w:val="26"/>
        </w:rPr>
        <w:t>1. Khái niệm</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Sáng chế là giải pháp kỹ thuật dưới dạng sản phẩm hoặc quy trình nhằm giải quyết một vấn đề xác định bằng việc ứng dụng các quy luật tự nhiên.</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Sáng chế được bảo hộ độc quyền dưới hình thức cấp Bằng độc quyền sáng chế hoặc Bằng độc quyền giải pháp hữu ích.</w:t>
      </w:r>
    </w:p>
    <w:p w:rsidR="001772E1" w:rsidRPr="001772E1" w:rsidRDefault="001772E1" w:rsidP="001772E1">
      <w:pPr>
        <w:pStyle w:val="NormalWeb"/>
        <w:shd w:val="clear" w:color="auto" w:fill="FFFFFF"/>
        <w:spacing w:before="0" w:beforeAutospacing="0" w:after="150" w:afterAutospacing="0"/>
        <w:jc w:val="both"/>
        <w:rPr>
          <w:i/>
          <w:color w:val="000000"/>
          <w:sz w:val="26"/>
          <w:szCs w:val="26"/>
        </w:rPr>
      </w:pPr>
      <w:r w:rsidRPr="001772E1">
        <w:rPr>
          <w:rStyle w:val="Strong"/>
          <w:i/>
          <w:color w:val="000000"/>
          <w:sz w:val="26"/>
          <w:szCs w:val="26"/>
        </w:rPr>
        <w:t>2. Giải pháp kỹ thuật</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Giải pháp kỹ thuật – đối tượng được bảo hộ dưới danh nghĩa là sáng chế là tập hợp cần và đủ các thông tin về cách thức kỹ thuật và/hoặc phương tiện kỹ thuật (ứng dụng các quy luật tự nhiên) nhằm giải quyết một nhiệm vụ (một vấn đề) xác định.</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Giải pháp kỹ thuật có thể thuộc một trong các dạng sau đây:</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(i) Sản phẩm:</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sản phẩm dưới dạng vật thể, ví dụ dụng cụ, máy móc, thiết bị, linh kiện, mạch điện..., được thể hiện bằng tập hợp các thông tin xác định một sản phẩm nhân tạo được đặc trưng bởi các dấu hiệu (đặc điểm) kỹ thuật về kết cấu, sản phẩm đó có chức năng (công dụng) như một phương tiện nhằm đáp ứng nhu cầu nhất định của con người; hoặc</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sản phẩm dưới dạng chất (gồm đơn chất, hợp chất và hỗn hợp chất), ví dụ vật liệu, chất liệu, thực phẩm, dược phẩm..., được thể hiện bằng tập hợp các thông tin xác định một sản phẩm nhân tạo được đặc trưng bởi các dấu hiệu (đặc điểm) kỹ thuật về sự hiện diện, tỷ lệ và trạng thái của các phần tử, có chức năng (công dụng) như một phương tiện nhằm đáp ứng nhu cầu nhất định của con người; hoặc sản phẩm dưới dạng vật liệu sinh học, ví dụ gen, thực vật/động vật biến đổi gen..., được thể hiện bằng tập hợp các thông tin về một sản phẩm chứa thông tin di truyền bị biến đổi dưới tác động của con người, có khả năng tự tái tạo;</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(ii) Quy trình hay phương pháp (quy trình sản xuất; phương pháp chẩn đoán, dự báo, kiểm tra, xử lý, v.v.) được thể hiện bằng một tập hợp các thông tin xác định cách thức tiến hành một quá trìn, một công việc cụ thể được đặc trưng bởi các dấu hiệu (đặc điểm) về trình tự, thành phần tham gia, biện pháp, phương tiện thực hiện các thao tác nhằm đạt được mục đích nhất định.</w:t>
      </w:r>
    </w:p>
    <w:p w:rsidR="001772E1" w:rsidRPr="001772E1" w:rsidRDefault="001772E1" w:rsidP="001772E1">
      <w:pPr>
        <w:pStyle w:val="NormalWeb"/>
        <w:shd w:val="clear" w:color="auto" w:fill="FFFFFF"/>
        <w:spacing w:before="0" w:beforeAutospacing="0" w:after="150" w:afterAutospacing="0"/>
        <w:jc w:val="both"/>
        <w:rPr>
          <w:i/>
          <w:color w:val="000000"/>
          <w:sz w:val="26"/>
          <w:szCs w:val="26"/>
        </w:rPr>
      </w:pPr>
      <w:r w:rsidRPr="001772E1">
        <w:rPr>
          <w:rStyle w:val="Strong"/>
          <w:i/>
          <w:color w:val="000000"/>
          <w:sz w:val="26"/>
          <w:szCs w:val="26"/>
        </w:rPr>
        <w:t>3. Điều kiện bảo hộ</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Sáng chế được bảo hộ dưới hình thức cấp Bằng độc quyền sáng chế nếu đáp ứng các điều kiện sau:</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Có tính mới;</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Có trình độ sáng tạ</w:t>
      </w:r>
      <w:bookmarkStart w:id="0" w:name="_GoBack"/>
      <w:bookmarkEnd w:id="0"/>
      <w:r w:rsidRPr="001772E1">
        <w:rPr>
          <w:color w:val="000000"/>
          <w:sz w:val="26"/>
          <w:szCs w:val="26"/>
        </w:rPr>
        <w:t>o;</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Có khả năng áp dụng công nghiệp.</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lastRenderedPageBreak/>
        <w:t>Sáng chế được bảo hộ dưới hình thức cấp Bằng độc quyền giải pháp hữu ích nếu đáp ứng các điều kiện sau:</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Có tính mới;</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Không phải là hiểu biết thông thường;</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Có khả năng áp dụng công nghiệp.</w:t>
      </w:r>
    </w:p>
    <w:p w:rsidR="001772E1" w:rsidRPr="001772E1" w:rsidRDefault="001772E1" w:rsidP="001772E1">
      <w:pPr>
        <w:pStyle w:val="NormalWeb"/>
        <w:shd w:val="clear" w:color="auto" w:fill="FFFFFF"/>
        <w:spacing w:before="0" w:beforeAutospacing="0" w:after="150" w:afterAutospacing="0"/>
        <w:jc w:val="both"/>
        <w:rPr>
          <w:i/>
          <w:color w:val="000000"/>
          <w:sz w:val="26"/>
          <w:szCs w:val="26"/>
        </w:rPr>
      </w:pPr>
      <w:r w:rsidRPr="001772E1">
        <w:rPr>
          <w:rStyle w:val="Strong"/>
          <w:i/>
          <w:color w:val="000000"/>
          <w:sz w:val="26"/>
          <w:szCs w:val="26"/>
        </w:rPr>
        <w:t>4. Các đối tượng không được bảo hộ dưới danh nghĩa sáng chế</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Các đối tượng không được bảo hộ dưới danh nghĩa sáng chế được quy định trong Điều 59 Luật Sở hữu trí tuệ. Cụ thể là:</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Phát minh, lý thuyết khoa học, phương pháp toán học;</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Sơ đồ, kế hoạch, quy tắc và phương pháp để thực hiện các hoạt động trí óc, huấn luyện vật nuôi, thực hiện trò chơi, kinh doanh; chương trình máy tính;</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Cách thức thể hiện thông tin;</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Giải pháp chỉ mang đặc tính thẩm mỹ;</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Giống thực vật, giống động vật;</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Quy trình sản xuất thực vật, động vật chủ yếu mang bản chất sinh học mà không phải là quy trình vi sinh;</w:t>
      </w:r>
    </w:p>
    <w:p w:rsidR="001772E1" w:rsidRPr="001772E1" w:rsidRDefault="001772E1" w:rsidP="004614EC">
      <w:pPr>
        <w:pStyle w:val="NormalWeb"/>
        <w:shd w:val="clear" w:color="auto" w:fill="FFFFFF"/>
        <w:spacing w:before="0" w:beforeAutospacing="0" w:after="150" w:afterAutospacing="0"/>
        <w:ind w:firstLine="567"/>
        <w:jc w:val="both"/>
        <w:rPr>
          <w:color w:val="000000"/>
          <w:sz w:val="26"/>
          <w:szCs w:val="26"/>
        </w:rPr>
      </w:pPr>
      <w:r w:rsidRPr="001772E1">
        <w:rPr>
          <w:color w:val="000000"/>
          <w:sz w:val="26"/>
          <w:szCs w:val="26"/>
        </w:rPr>
        <w:t>- Phương pháp phòng ngừa, chẩn đoán và chữa bệnh cho người và động vật.</w:t>
      </w:r>
    </w:p>
    <w:p w:rsidR="001772E1" w:rsidRPr="001772E1" w:rsidRDefault="001772E1" w:rsidP="001772E1">
      <w:pPr>
        <w:pStyle w:val="NormalWeb"/>
        <w:shd w:val="clear" w:color="auto" w:fill="FFFFFF"/>
        <w:spacing w:before="0" w:beforeAutospacing="0" w:after="150" w:afterAutospacing="0"/>
        <w:jc w:val="both"/>
        <w:rPr>
          <w:b/>
          <w:color w:val="000000"/>
          <w:sz w:val="26"/>
          <w:szCs w:val="26"/>
        </w:rPr>
      </w:pPr>
      <w:r w:rsidRPr="001772E1">
        <w:rPr>
          <w:b/>
          <w:color w:val="000000"/>
          <w:sz w:val="26"/>
          <w:szCs w:val="26"/>
        </w:rPr>
        <w:t>II. Quy trình đăng ký Sáng chế</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rStyle w:val="Strong"/>
          <w:i/>
          <w:color w:val="000000"/>
          <w:sz w:val="26"/>
          <w:szCs w:val="26"/>
        </w:rPr>
        <w:t>1. Tài liệu cần có của đơn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w:t>
      </w:r>
      <w:r w:rsidRPr="001772E1">
        <w:rPr>
          <w:rStyle w:val="Strong"/>
          <w:color w:val="000000"/>
          <w:sz w:val="26"/>
          <w:szCs w:val="26"/>
        </w:rPr>
        <w:t>02 Tờ khai</w:t>
      </w:r>
      <w:r w:rsidRPr="001772E1">
        <w:rPr>
          <w:color w:val="000000"/>
          <w:sz w:val="26"/>
          <w:szCs w:val="26"/>
        </w:rPr>
        <w:t> đăng ký sáng chế, đánh máy theo mẫu số </w:t>
      </w:r>
      <w:hyperlink r:id="rId6" w:history="1">
        <w:r w:rsidRPr="001772E1">
          <w:rPr>
            <w:rStyle w:val="Hyperlink"/>
            <w:b/>
            <w:bCs/>
            <w:color w:val="1E90FF"/>
            <w:sz w:val="26"/>
            <w:szCs w:val="26"/>
          </w:rPr>
          <w:t>01-SC</w:t>
        </w:r>
      </w:hyperlink>
      <w:r w:rsidRPr="001772E1">
        <w:rPr>
          <w:color w:val="000000"/>
          <w:sz w:val="26"/>
          <w:szCs w:val="26"/>
        </w:rPr>
        <w:t> Phụ lục A của Thông tư số 01/2007/TT-BKHCN</w:t>
      </w:r>
      <w:r w:rsidR="004614EC">
        <w:rPr>
          <w:color w:val="000000"/>
          <w:sz w:val="26"/>
          <w:szCs w:val="26"/>
        </w:rPr>
        <w:t xml:space="preserve"> (File đính kèm)</w:t>
      </w:r>
      <w:r w:rsidRPr="001772E1">
        <w:rPr>
          <w:color w:val="000000"/>
          <w:sz w:val="26"/>
          <w:szCs w:val="26"/>
        </w:rPr>
        <w:t>;</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w:t>
      </w:r>
      <w:r w:rsidRPr="001772E1">
        <w:rPr>
          <w:rStyle w:val="Strong"/>
          <w:color w:val="000000"/>
          <w:sz w:val="26"/>
          <w:szCs w:val="26"/>
        </w:rPr>
        <w:t>02 Bản mô t</w:t>
      </w:r>
      <w:r w:rsidRPr="001772E1">
        <w:rPr>
          <w:color w:val="000000"/>
          <w:sz w:val="26"/>
          <w:szCs w:val="26"/>
        </w:rPr>
        <w:t>ả sáng chế/ giải pháp hữu ích; Bản mô tả sáng chế/giải pháp hữu ích phải đáp ứng quy định tại điểm 23.6 Thông tư số 01/2007/TT-BKHCN. Bản mô tả sáng chế/giải pháp hữu ích gồm có Phần mô tả, Yêu cầu bảo hộ và Hình vẽ (nếu có).</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rStyle w:val="Strong"/>
          <w:color w:val="000000"/>
          <w:sz w:val="26"/>
          <w:szCs w:val="26"/>
        </w:rPr>
        <w:t>     Phần mô tả</w:t>
      </w:r>
      <w:r w:rsidRPr="001772E1">
        <w:rPr>
          <w:color w:val="000000"/>
          <w:sz w:val="26"/>
          <w:szCs w:val="26"/>
        </w:rPr>
        <w:t> phải được trình bày đầy đủ, rõ ràng bản chất của sáng chế theo các nội dung sau:</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Tên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Lĩnh vực sử dụng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Tình trạng kỹ thuật của lĩnh vực sử dụng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Bản chất kỹ thuật của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Mô tả vắn tắt các hình vẽ kèm theo (nếu có);</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Mô tả chi tiết các phương án thực hiện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t>     + Ví dụ thực hiện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426"/>
        <w:jc w:val="both"/>
        <w:rPr>
          <w:color w:val="000000"/>
          <w:sz w:val="26"/>
          <w:szCs w:val="26"/>
        </w:rPr>
      </w:pPr>
      <w:r w:rsidRPr="001772E1">
        <w:rPr>
          <w:color w:val="000000"/>
          <w:sz w:val="26"/>
          <w:szCs w:val="26"/>
        </w:rPr>
        <w:lastRenderedPageBreak/>
        <w:t>     + Những lợi ích (hiệu quả) có  thể đạt được].</w:t>
      </w:r>
    </w:p>
    <w:p w:rsidR="001772E1" w:rsidRPr="001772E1" w:rsidRDefault="001772E1" w:rsidP="001772E1">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  </w:t>
      </w:r>
      <w:r w:rsidRPr="001772E1">
        <w:rPr>
          <w:rStyle w:val="Strong"/>
          <w:color w:val="000000"/>
          <w:sz w:val="26"/>
          <w:szCs w:val="26"/>
        </w:rPr>
        <w:t>   Yêu cầu bảo hộ</w:t>
      </w:r>
      <w:r w:rsidRPr="001772E1">
        <w:rPr>
          <w:color w:val="000000"/>
          <w:sz w:val="26"/>
          <w:szCs w:val="26"/>
        </w:rPr>
        <w:t> được tách thành riêng sau phần mô tả, yêu cầu bảo hộ được dùng để xác định phạm vi quyền sở hữu công nghiệp đối với sáng chế. Yêu cầu bảo hộ phải được trình bày ngắn gọn, rõ ràng, phù hợp với phần mô tả và hình vẽ, trong đó phải làm rõ những dấu hiệu mới của đối tượng yêu cầu được bảo hộ.</w:t>
      </w:r>
    </w:p>
    <w:p w:rsidR="001772E1" w:rsidRPr="001772E1" w:rsidRDefault="001772E1" w:rsidP="001772E1">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    </w:t>
      </w:r>
      <w:r w:rsidRPr="001772E1">
        <w:rPr>
          <w:rStyle w:val="Strong"/>
          <w:color w:val="000000"/>
          <w:sz w:val="26"/>
          <w:szCs w:val="26"/>
        </w:rPr>
        <w:t> Hình vẽ, sơ đồ (nếu có): </w:t>
      </w:r>
      <w:r w:rsidRPr="001772E1">
        <w:rPr>
          <w:color w:val="000000"/>
          <w:sz w:val="26"/>
          <w:szCs w:val="26"/>
        </w:rPr>
        <w:t>được tách thành trang riêng.</w:t>
      </w:r>
    </w:p>
    <w:p w:rsidR="001772E1" w:rsidRPr="001772E1" w:rsidRDefault="001772E1" w:rsidP="001772E1">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 </w:t>
      </w:r>
      <w:r w:rsidRPr="001772E1">
        <w:rPr>
          <w:rStyle w:val="Strong"/>
          <w:color w:val="000000"/>
          <w:sz w:val="26"/>
          <w:szCs w:val="26"/>
        </w:rPr>
        <w:t>02 Bản tóm tắt</w:t>
      </w:r>
      <w:r w:rsidRPr="001772E1">
        <w:rPr>
          <w:color w:val="000000"/>
          <w:sz w:val="26"/>
          <w:szCs w:val="26"/>
        </w:rPr>
        <w:t> sáng chế/giải pháp hữu ích. Tóm tắt sáng chế/giải pháp hữu ích không được vượt quá 150 từ và phải được tách thành trang riêng. Bản tóm tắt sáng chế/giải pháp hữu ích không bắt buộc phải nộp tại thời điểm nộp đơn và người nộp đơn có thể bổ sung sau;</w:t>
      </w:r>
    </w:p>
    <w:p w:rsidR="001772E1" w:rsidRPr="001772E1" w:rsidRDefault="001772E1" w:rsidP="001772E1">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 </w:t>
      </w:r>
      <w:r w:rsidRPr="001772E1">
        <w:rPr>
          <w:rStyle w:val="Strong"/>
          <w:color w:val="000000"/>
          <w:sz w:val="26"/>
          <w:szCs w:val="26"/>
        </w:rPr>
        <w:t>Chứng từ nộp phí, lệ phí.</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rStyle w:val="Strong"/>
          <w:i/>
          <w:color w:val="000000"/>
          <w:sz w:val="26"/>
          <w:szCs w:val="26"/>
        </w:rPr>
        <w:t>2. Các tài liệu khác (nếu có)</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Giấy ủy quyền (nếu đơn đăng ký sáng chế/giải pháp hữu ích được nộp thông qua tổ chức dịch vụ đại diện sở hữu công nghiệp);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Giấy chuyển nhượng quyền nộp đơn (nếu có);</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Tài liệu xác nhận quyền đăng ký (nếu thụ hưởng từ người khác);</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Tài liệu chứng minh quyền ưu tiên (nếu đơn đăng ký sáng chế có yêu cầu hưởng quyền ưu tiên).</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rStyle w:val="Strong"/>
          <w:i/>
          <w:color w:val="000000"/>
          <w:sz w:val="26"/>
          <w:szCs w:val="26"/>
        </w:rPr>
        <w:t>3. Yêu cầu chung đối với đơn đăng ký</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Mỗi đơn chỉ được yêu cầu cấp một văn bằng bảo hộ và loại văn bằng bảo hộ được yêu cầu cấp phải phù hợp với đối tượng giải pháp kỹ thuật nêu trong đơn;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Mọi tài liệu của đơn đều phải được làm bằng tiếng Việt. Đối với các tài liệu được làm bằng ngôn ngữ khác theo quy định tại các điểm 7.3 và 7.4 của Thông tư  01/2007/TT-BKHCN thì phải được dịch ra tiếng Việt;</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Mọi tài liệu đều phải được trình bày theo chiều dọc (riêng hình vẽ, sơ đồ và bảng biểu có thể được trình bày theo chiều ngang) trên một mặt giấy khổ A4 (210mm x 297mm), trong đó có chừa lề theo bốn phía, mỗi lề rộng 20mm, theo phông chữ Times New Roman, chữ không nhỏ hơn cỡ 13, trừ các tài liệu bổ trợ mà nguồn gốc tài liệu đó không nhằm để đưa vào đơn;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Đối với tài liệu cần lập theo mẫu thì bắt buộc phải sử dụng các mẫu đó và điền đầy đủ các thông tin theo yêu cầu vào những chỗ thích hợp;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Mỗi loại tài liệu nếu bao gồm nhiều trang thì mỗi trang phải ghi số thứ tự trang đó bằng chữ số Ả-rập;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Tài liệu phải được đánh máy hoặc in bằng loại mực khó phai mờ, một cách rõ ràng, sạch sẽ, không tẩy xóa, không sữa chữa; trường hợp phát hiện có sai sót không đáng kể thuộc về lỗi chính tả trong tài liệu đã nộp cho Cục Sở hữu trí tuệ thì người nộp đơn có thể sữa chữa các lỗi đó, nhưng tại chỗ bị sửa chữa phải có chữ ký xác nhận (và đóng dấu, nếu có) của người nộp đơn;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lastRenderedPageBreak/>
        <w:t>- Thuật ngữ dùng trong đơn phải thống nhất và là thuật ngữ phổ thông (không dùng tiếng địa phương, từ hiếm, từ tự tạo). Ký hiệu, đơn vị đo lường, phông chữ điện tử, quy tắc chính tả dùng trong đơn phải theo tiêu chuẩn Việt Nam);</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Đơn có thể kèm theo tài liệu bổ trợ là vật mang dữ liệu điện tử của một phần hoặc toàn bộ nội dung tài liệu đơn.</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i/>
          <w:color w:val="000000"/>
          <w:sz w:val="26"/>
          <w:szCs w:val="26"/>
        </w:rPr>
        <w:t> </w:t>
      </w:r>
      <w:r w:rsidRPr="001772E1">
        <w:rPr>
          <w:rStyle w:val="Strong"/>
          <w:i/>
          <w:color w:val="000000"/>
          <w:sz w:val="26"/>
          <w:szCs w:val="26"/>
        </w:rPr>
        <w:t>4. Phí, lệ phí đăng ký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Lệ phí nộp đơn: 150.000VNĐ</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thẩm định hình thức: 180.000VNĐ/01 điểm yêu cầu bảo hộ độc lập;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thẩm định hình thức từ trang thứ 7 bản mô tả trở đi: 8.000VNĐ/01 trang;</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công bố đơn: 120.000VNĐ;</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công bố từ hình thứ 2 trở đi: 60.000VNĐ/hình;</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thẩm định yêu cầu hưởng quyền ưu tiên (nếu có): 600.000VNĐ/01 đơn ưu tiên;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tra cứu thông tin nhằm phục vụ quá trình thẩm định: 600.000VNĐ/01 điểm yêu cầu bảo hộ độc lập;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thẩm định nội dung: 720.000VNĐ/01 điểm yêu cầu bảo hộ độc lập;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Phí thẩm định nội dung từ trang thứ 7 bản mô tả trở đi: 32.000VNĐ/01 trang</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rStyle w:val="Strong"/>
          <w:color w:val="000000"/>
          <w:sz w:val="26"/>
          <w:szCs w:val="26"/>
        </w:rPr>
        <w:t>Lưu ý</w:t>
      </w:r>
      <w:r w:rsidRPr="001772E1">
        <w:rPr>
          <w:color w:val="000000"/>
          <w:sz w:val="26"/>
          <w:szCs w:val="26"/>
        </w:rPr>
        <w:t>: Đơn đăng ký sáng chế/giải pháp hữu ích cần được phân loại sáng chế quốc tế (IPC), trường hợp người nộp đơn không phân loại hoặc phân loại không chính xác thì Cục Sở hữu trí tuệ sẽ tiến hành phân loại và người nộp đơn cần nộp phí phân loại theo quy định (100.000VNĐ/01 phân loại sáng chế quốc tế). </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rStyle w:val="Strong"/>
          <w:i/>
          <w:color w:val="000000"/>
          <w:sz w:val="26"/>
          <w:szCs w:val="26"/>
        </w:rPr>
        <w:t>5. Thời hạn xử lý đơn đăng ký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Kể từ ngày được Cục Sở hữu trí tuệ tiếp nhận, đơn đăng ký sáng chế/giải pháp hữu ích được xem xét theo trình tự sau:</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Thẩm định hình thức: 01 tháng</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Công bố đơn đăng ký sáng chế/giải pháp hữu ích:</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(i) Đơn đăng ký sáng chế/giải pháp hữu ích được công bố trong tháng thứ mười chín kể từ ngày ưu tiên hoặc ngày nộp đơn, nếu đơn không có ngày ưu tiên hoặc trong thời hạn 02 tháng kể từ ngày chấp nhận đơn hợp lệ, tùy theo ngày nào muộn hơn;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(ii) Đơn đăng ký sáng chế theo Hiệp ước hợp tác về sáng chế (sau đây gọi là “đơn PCT”) được công bố trong thời hạn 02 tháng kể từ ngày chấp nhận đơn hợp lệ đã vào giai đoạn quốc gia;</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(iii) Đơn đăng ký sáng chế/giải pháp hữu ích có yêu cầu công bố sớm được công bố trong thời hạn 02 tháng kể từ ngày Cục Sở hữu trí tuệ nhận được yêu cầu công bố sớm hoặc kể từ ngày chấp nhận đơn hợp lệ, tùy theo ngày nào muộn hơn.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lastRenderedPageBreak/>
        <w:t>- Thẩm định nội dung: không quá mười tám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rsidR="001772E1" w:rsidRPr="001772E1" w:rsidRDefault="001772E1" w:rsidP="001772E1">
      <w:pPr>
        <w:pStyle w:val="NormalWeb"/>
        <w:shd w:val="clear" w:color="auto" w:fill="FFFFFF"/>
        <w:spacing w:before="0" w:beforeAutospacing="0" w:after="120" w:afterAutospacing="0" w:line="297" w:lineRule="atLeast"/>
        <w:jc w:val="both"/>
        <w:rPr>
          <w:i/>
          <w:color w:val="000000"/>
          <w:sz w:val="26"/>
          <w:szCs w:val="26"/>
        </w:rPr>
      </w:pPr>
      <w:r w:rsidRPr="001772E1">
        <w:rPr>
          <w:i/>
          <w:color w:val="000000"/>
          <w:sz w:val="26"/>
          <w:szCs w:val="26"/>
        </w:rPr>
        <w:t> </w:t>
      </w:r>
      <w:r w:rsidRPr="001772E1">
        <w:rPr>
          <w:rStyle w:val="Strong"/>
          <w:i/>
          <w:color w:val="000000"/>
          <w:sz w:val="26"/>
          <w:szCs w:val="26"/>
        </w:rPr>
        <w:t>6. Hình thức nộp đơn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Người nộp đơn có thể lựa chọn hình thức nộp đơn giấy hoặc hình thức nộp đơn trực tuyến qua Cổng dịch vụ công trực tuyến của Cục Sở hữu trí tuệ, cụ thể:</w:t>
      </w:r>
    </w:p>
    <w:p w:rsidR="001772E1" w:rsidRPr="001772E1" w:rsidRDefault="001772E1" w:rsidP="004614EC">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a) Hình thức nộp đơn giấy</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Người nộp đơn có thể nộp đơn đăng ký sáng chế/giải pháp hữu ích trực tiếp hoặc qua dịch vụ của bưu điện đến một trong các điểm tiếp nhận đơn của Cục Sở hữu trí tuệ cụ thể như sau:</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Trụ sở Cục Sở hữu trí tuệ, địa chỉ: 386 Nguyễn Trãi, quận Thanh Xuân, thành phố Hà Nội.</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Văn phòng đại diện Cục Sở hữu trí tuệ tại thành phố Hồ Chí Minh, địa chỉ: Lầu 7, tòa nhà Hà Phan, 17/19 Tôn Thất Tùng, phường Phạm Ngũ Lão, quận 1, thành phố Hồ Chí Minh.</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Văn phòng đại diện Cục Sở hữu trí tuệ tại thành phố Đà Nẵng, địa chỉ: Tầng 3, số 135 Minh Mạng, phường Khuê Mỹ, quận Ngũ Hành Sơn, thành phố Đà Nẵng.</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Trường hợp nộp hồ sơ đơn đăng ký sáng chế/giải pháp hữu ích qua bưu điện, người nộp đơn cần chuyển tiền qua dịch vụ của bưu điện, sau đó phô tô Giấy biên nhận chuyển tiền gửi kèm theo hồ sơ đơn đến một trong các điểm tiếp nhận đơn nêu trên của Cục Sở hữu trí tuệ để chứng minh khoản tiền đã nộp.</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w:t>
      </w:r>
      <w:r w:rsidRPr="001772E1">
        <w:rPr>
          <w:rStyle w:val="Strong"/>
          <w:color w:val="000000"/>
          <w:sz w:val="26"/>
          <w:szCs w:val="26"/>
        </w:rPr>
        <w:t>Lưu ý</w:t>
      </w:r>
      <w:r w:rsidRPr="001772E1">
        <w:rPr>
          <w:color w:val="000000"/>
          <w:sz w:val="26"/>
          <w:szCs w:val="26"/>
        </w:rPr>
        <w:t>: Khi chuyển tiền phí, lệ phí đến một trong các điểm tiếp nhận đơn nêu trên của Cục Sở hữu trí tuệ, người nộp đơn cần gửi hồ sơ qua bưu điện tương ứng đến điểm tiếp nhận đơn đó).</w:t>
      </w:r>
    </w:p>
    <w:p w:rsidR="001772E1" w:rsidRPr="001772E1" w:rsidRDefault="001772E1" w:rsidP="004614EC">
      <w:pPr>
        <w:pStyle w:val="NormalWeb"/>
        <w:shd w:val="clear" w:color="auto" w:fill="FFFFFF"/>
        <w:spacing w:before="0" w:beforeAutospacing="0" w:after="120" w:afterAutospacing="0" w:line="297" w:lineRule="atLeast"/>
        <w:jc w:val="both"/>
        <w:rPr>
          <w:color w:val="000000"/>
          <w:sz w:val="26"/>
          <w:szCs w:val="26"/>
        </w:rPr>
      </w:pPr>
      <w:r w:rsidRPr="001772E1">
        <w:rPr>
          <w:color w:val="000000"/>
          <w:sz w:val="26"/>
          <w:szCs w:val="26"/>
        </w:rPr>
        <w:t>b) Hình thức nộp đơn trực tuyến</w:t>
      </w:r>
    </w:p>
    <w:p w:rsidR="001772E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Điều kiện để nộp đơn trực tuyến: Người nộp đơn cần có chứng thư số và chữ ký số, đăng ký tài khoản trên Hệ thống tiếp nhận đơn trực tuyến và được Cục Sở hữu trí tuệ phê duyệt tài khoản để thực hiện các giao dịch đăng ký quyền SHCN.</w:t>
      </w:r>
    </w:p>
    <w:p w:rsidR="00201351" w:rsidRPr="001772E1" w:rsidRDefault="001772E1" w:rsidP="004614EC">
      <w:pPr>
        <w:pStyle w:val="NormalWeb"/>
        <w:shd w:val="clear" w:color="auto" w:fill="FFFFFF"/>
        <w:spacing w:before="0" w:beforeAutospacing="0" w:after="120" w:afterAutospacing="0" w:line="297" w:lineRule="atLeast"/>
        <w:ind w:firstLine="567"/>
        <w:jc w:val="both"/>
        <w:rPr>
          <w:color w:val="000000"/>
          <w:sz w:val="26"/>
          <w:szCs w:val="26"/>
        </w:rPr>
      </w:pPr>
      <w:r w:rsidRPr="001772E1">
        <w:rPr>
          <w:color w:val="000000"/>
          <w:sz w:val="26"/>
          <w:szCs w:val="26"/>
        </w:rPr>
        <w:t>- Trình tự nộp đơn trực tuyến: Người nộp đơn cần thực hiện việc khai báo và gửi đơn đăng ký sáng chế/giải pháp hữu ích trên Hệ thống tiếp nhận đơn trực tuyến của Cục Sở hữu trí tuệ, sau khi hoàn thành việc khai báo và gửi đơn trên Hệ thống tiếp nhận đơn trực tuyến, Hệ thống sẽ gửi lại cho người nộp đơn Phiếu xác nhận nộp tài liệu trực tuyến. Trong thời hạn 01 tháng kể từ ngày gửi đơn trực tuyến, người nộp đơn phải đến một trong các điểm tiếp nhận đơn của Cục Sở hữu trí tuệ vào các ngày làm việc trong giờ giao dịch để xuất trình Phiếu xác nhận tài liệu nộp trực tuyến và tài liệu kèm theo (nếu có) và nộp phí/lệ phí theo quy định. Nếu tài liệu và phí/lệ phí đầy đủ theo quy định, cán bộ nhận đơn sẽ thực hiện việc cấp số đơn vào Tờ khai trên Hệ thống tiếp nhận đơn trực tuyến, nếu không đủ tài liệu và phí/lệ phí theo quy định thì đơn sẽ bị từ chối tiếp nhận. Trong trường hợp Người nộp đơn không hoàn tất thủ tục nộp đơn theo quy định, tài liệu trực tuyến sẽ bị hủy và Thông báo hủy tài liệu trực tuyến được gửi cho Người nộp đơn trên Hệ thống tiếp nhận đơn trực tuyến.</w:t>
      </w:r>
    </w:p>
    <w:sectPr w:rsidR="00201351" w:rsidRPr="001772E1" w:rsidSect="004614EC">
      <w:footerReference w:type="default" r:id="rId7"/>
      <w:pgSz w:w="12240" w:h="15840"/>
      <w:pgMar w:top="1134" w:right="873"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E5" w:rsidRDefault="006C36E5" w:rsidP="004614EC">
      <w:pPr>
        <w:spacing w:after="0" w:line="240" w:lineRule="auto"/>
      </w:pPr>
      <w:r>
        <w:separator/>
      </w:r>
    </w:p>
  </w:endnote>
  <w:endnote w:type="continuationSeparator" w:id="0">
    <w:p w:rsidR="006C36E5" w:rsidRDefault="006C36E5" w:rsidP="0046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83258806"/>
      <w:docPartObj>
        <w:docPartGallery w:val="Page Numbers (Bottom of Page)"/>
        <w:docPartUnique/>
      </w:docPartObj>
    </w:sdtPr>
    <w:sdtEndPr>
      <w:rPr>
        <w:noProof/>
      </w:rPr>
    </w:sdtEndPr>
    <w:sdtContent>
      <w:p w:rsidR="004614EC" w:rsidRPr="004614EC" w:rsidRDefault="004614EC">
        <w:pPr>
          <w:pStyle w:val="Footer"/>
          <w:jc w:val="center"/>
          <w:rPr>
            <w:rFonts w:ascii="Times New Roman" w:hAnsi="Times New Roman" w:cs="Times New Roman"/>
            <w:sz w:val="24"/>
            <w:szCs w:val="24"/>
          </w:rPr>
        </w:pPr>
        <w:r w:rsidRPr="004614EC">
          <w:rPr>
            <w:rFonts w:ascii="Times New Roman" w:hAnsi="Times New Roman" w:cs="Times New Roman"/>
            <w:sz w:val="24"/>
            <w:szCs w:val="24"/>
          </w:rPr>
          <w:fldChar w:fldCharType="begin"/>
        </w:r>
        <w:r w:rsidRPr="004614EC">
          <w:rPr>
            <w:rFonts w:ascii="Times New Roman" w:hAnsi="Times New Roman" w:cs="Times New Roman"/>
            <w:sz w:val="24"/>
            <w:szCs w:val="24"/>
          </w:rPr>
          <w:instrText xml:space="preserve"> PAGE   \* MERGEFORMAT </w:instrText>
        </w:r>
        <w:r w:rsidRPr="004614EC">
          <w:rPr>
            <w:rFonts w:ascii="Times New Roman" w:hAnsi="Times New Roman" w:cs="Times New Roman"/>
            <w:sz w:val="24"/>
            <w:szCs w:val="24"/>
          </w:rPr>
          <w:fldChar w:fldCharType="separate"/>
        </w:r>
        <w:r>
          <w:rPr>
            <w:rFonts w:ascii="Times New Roman" w:hAnsi="Times New Roman" w:cs="Times New Roman"/>
            <w:noProof/>
            <w:sz w:val="24"/>
            <w:szCs w:val="24"/>
          </w:rPr>
          <w:t>2</w:t>
        </w:r>
        <w:r w:rsidRPr="004614EC">
          <w:rPr>
            <w:rFonts w:ascii="Times New Roman" w:hAnsi="Times New Roman" w:cs="Times New Roman"/>
            <w:noProof/>
            <w:sz w:val="24"/>
            <w:szCs w:val="24"/>
          </w:rPr>
          <w:fldChar w:fldCharType="end"/>
        </w:r>
      </w:p>
    </w:sdtContent>
  </w:sdt>
  <w:p w:rsidR="004614EC" w:rsidRPr="004614EC" w:rsidRDefault="004614E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E5" w:rsidRDefault="006C36E5" w:rsidP="004614EC">
      <w:pPr>
        <w:spacing w:after="0" w:line="240" w:lineRule="auto"/>
      </w:pPr>
      <w:r>
        <w:separator/>
      </w:r>
    </w:p>
  </w:footnote>
  <w:footnote w:type="continuationSeparator" w:id="0">
    <w:p w:rsidR="006C36E5" w:rsidRDefault="006C36E5" w:rsidP="004614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E1"/>
    <w:rsid w:val="001772E1"/>
    <w:rsid w:val="00201351"/>
    <w:rsid w:val="002509A8"/>
    <w:rsid w:val="004614EC"/>
    <w:rsid w:val="00472360"/>
    <w:rsid w:val="006C3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CB8E"/>
  <w15:chartTrackingRefBased/>
  <w15:docId w15:val="{523042C0-99B9-4E25-BB14-89A96947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72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72E1"/>
    <w:rPr>
      <w:b/>
      <w:bCs/>
    </w:rPr>
  </w:style>
  <w:style w:type="character" w:styleId="Hyperlink">
    <w:name w:val="Hyperlink"/>
    <w:basedOn w:val="DefaultParagraphFont"/>
    <w:uiPriority w:val="99"/>
    <w:semiHidden/>
    <w:unhideWhenUsed/>
    <w:rsid w:val="001772E1"/>
    <w:rPr>
      <w:color w:val="0000FF"/>
      <w:u w:val="single"/>
    </w:rPr>
  </w:style>
  <w:style w:type="paragraph" w:styleId="Header">
    <w:name w:val="header"/>
    <w:basedOn w:val="Normal"/>
    <w:link w:val="HeaderChar"/>
    <w:uiPriority w:val="99"/>
    <w:unhideWhenUsed/>
    <w:rsid w:val="00461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EC"/>
  </w:style>
  <w:style w:type="paragraph" w:styleId="Footer">
    <w:name w:val="footer"/>
    <w:basedOn w:val="Normal"/>
    <w:link w:val="FooterChar"/>
    <w:uiPriority w:val="99"/>
    <w:unhideWhenUsed/>
    <w:rsid w:val="00461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385311">
      <w:bodyDiv w:val="1"/>
      <w:marLeft w:val="0"/>
      <w:marRight w:val="0"/>
      <w:marTop w:val="0"/>
      <w:marBottom w:val="0"/>
      <w:divBdr>
        <w:top w:val="none" w:sz="0" w:space="0" w:color="auto"/>
        <w:left w:val="none" w:sz="0" w:space="0" w:color="auto"/>
        <w:bottom w:val="none" w:sz="0" w:space="0" w:color="auto"/>
        <w:right w:val="none" w:sz="0" w:space="0" w:color="auto"/>
      </w:divBdr>
    </w:div>
    <w:div w:id="96338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ip.gov.vn/documents/20195/740879/A.01+%C4%91%C4%83ng+k%C3%BD+SC.doc/8830b648-54a5-43e1-82a8-f54361c22d6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1729</Words>
  <Characters>9859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Thu Ho Tieu</dc:creator>
  <cp:keywords/>
  <dc:description/>
  <cp:lastModifiedBy>Cao Thu Ho Tieu</cp:lastModifiedBy>
  <cp:revision>3</cp:revision>
  <dcterms:created xsi:type="dcterms:W3CDTF">2020-04-14T11:17:00Z</dcterms:created>
  <dcterms:modified xsi:type="dcterms:W3CDTF">2020-04-15T05:44:00Z</dcterms:modified>
</cp:coreProperties>
</file>